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r w:rsidDel="00000000" w:rsidR="00000000" w:rsidRPr="00000000">
        <w:rPr>
          <w:b w:val="1"/>
          <w:color w:val="ac0502"/>
          <w:sz w:val="28"/>
          <w:szCs w:val="28"/>
          <w:rtl w:val="0"/>
        </w:rPr>
        <w:t xml:space="preserve">LBHC Associate of Science Degree in Mathematics (includes the math and pre-engineering options)</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Note: This plan includes only the required courses, beyond the general education requirements, that are in common with the math and pre-engineering options. </w:t>
      </w:r>
    </w:p>
    <w:p w:rsidR="00000000" w:rsidDel="00000000" w:rsidP="00000000" w:rsidRDefault="00000000" w:rsidRPr="00000000" w14:paraId="00000004">
      <w:pPr>
        <w:spacing w:after="120" w:line="240" w:lineRule="auto"/>
        <w:rPr>
          <w:sz w:val="24"/>
          <w:szCs w:val="24"/>
        </w:rPr>
      </w:pPr>
      <w:r w:rsidDel="00000000" w:rsidR="00000000" w:rsidRPr="00000000">
        <w:rPr>
          <w:sz w:val="24"/>
          <w:szCs w:val="24"/>
          <w:rtl w:val="0"/>
        </w:rPr>
        <w:t xml:space="preserve">Updated 2023.07.24</w:t>
      </w:r>
    </w:p>
    <w:tbl>
      <w:tblPr>
        <w:tblStyle w:val="Table1"/>
        <w:tblW w:w="13680.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8355"/>
        <w:gridCol w:w="1290"/>
        <w:gridCol w:w="1230"/>
        <w:gridCol w:w="1065"/>
        <w:gridCol w:w="1740"/>
        <w:tblGridChange w:id="0">
          <w:tblGrid>
            <w:gridCol w:w="8355"/>
            <w:gridCol w:w="1290"/>
            <w:gridCol w:w="1230"/>
            <w:gridCol w:w="1065"/>
            <w:gridCol w:w="1740"/>
          </w:tblGrid>
        </w:tblGridChange>
      </w:tblGrid>
      <w:tr>
        <w:trPr>
          <w:cantSplit w:val="0"/>
          <w:trHeight w:val="30"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5">
            <w:pPr>
              <w:spacing w:after="120" w:before="120" w:line="240" w:lineRule="auto"/>
              <w:ind w:left="-96" w:right="-6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learning outcomes: </w:t>
            </w:r>
            <w:r w:rsidDel="00000000" w:rsidR="00000000" w:rsidRPr="00000000">
              <w:rPr>
                <w:rFonts w:ascii="Times New Roman" w:cs="Times New Roman" w:eastAsia="Times New Roman" w:hAnsi="Times New Roman"/>
                <w:i w:val="1"/>
                <w:color w:val="000000"/>
                <w:rtl w:val="0"/>
              </w:rPr>
              <w:t xml:space="preserve">Graduates should be able t</w:t>
            </w:r>
            <w:r w:rsidDel="00000000" w:rsidR="00000000" w:rsidRPr="00000000">
              <w:rPr>
                <w:rFonts w:ascii="Times New Roman" w:cs="Times New Roman" w:eastAsia="Times New Roman" w:hAnsi="Times New Roman"/>
                <w:i w:val="1"/>
                <w:rtl w:val="0"/>
              </w:rPr>
              <w:t xml:space="preserve">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w:t>
              <w:br w:type="textWrapping"/>
              <w:t xml:space="preserve">216</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w:t>
              <w:br w:type="textWrapping"/>
              <w:t xml:space="preserve">121</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w:t>
              <w:br w:type="textWrapping"/>
              <w:t xml:space="preserve">171</w:t>
            </w:r>
          </w:p>
        </w:tc>
        <w:tc>
          <w:tcPr>
            <w:tcBorders>
              <w:top w:color="000000" w:space="0" w:sz="0" w:val="nil"/>
              <w:bottom w:color="000000" w:space="0" w:sz="4" w:val="single"/>
            </w:tcBorders>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w:t>
              <w:br w:type="textWrapping"/>
              <w:t xml:space="preserve">172</w:t>
            </w:r>
          </w:p>
        </w:tc>
      </w:tr>
      <w:tr>
        <w:trPr>
          <w:cantSplit w:val="0"/>
          <w:trHeight w:val="213" w:hRule="atLeast"/>
          <w:tblHeader w:val="0"/>
        </w:trPr>
        <w:tc>
          <w:tcPr>
            <w:shd w:fill="auto" w:val="clear"/>
          </w:tcPr>
          <w:p w:rsidR="00000000" w:rsidDel="00000000" w:rsidP="00000000" w:rsidRDefault="00000000" w:rsidRPr="00000000" w14:paraId="0000000A">
            <w:pPr>
              <w:numPr>
                <w:ilvl w:val="0"/>
                <w:numId w:val="1"/>
              </w:numPr>
              <w:spacing w:after="120" w:before="120" w:line="240" w:lineRule="auto"/>
              <w:ind w:left="360" w:right="-6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math facts, concepts, and relationships (through written work elucidating organizational computation steps, providing an explanation of a solution where appropriate and hand drawing graphs of functions and other relations).</w:t>
            </w:r>
          </w:p>
        </w:tc>
        <w:tc>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shd w:fill="auto" w:val="clear"/>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br w:type="textWrapping"/>
              <w:t xml:space="preserve">(2022-23)</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w:t>
            </w:r>
            <w:r w:rsidDel="00000000" w:rsidR="00000000" w:rsidRPr="00000000">
              <w:rPr>
                <w:rtl w:val="0"/>
              </w:rPr>
            </w:r>
          </w:p>
        </w:tc>
        <w:tc>
          <w:tcPr>
            <w:tcBorders>
              <w:top w:color="000000" w:space="0" w:sz="4" w:val="single"/>
            </w:tcBorders>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w:t>
            </w:r>
            <w:r w:rsidDel="00000000" w:rsidR="00000000" w:rsidRPr="00000000">
              <w:rPr>
                <w:rtl w:val="0"/>
              </w:rPr>
            </w:r>
          </w:p>
        </w:tc>
      </w:tr>
      <w:tr>
        <w:trPr>
          <w:cantSplit w:val="0"/>
          <w:trHeight w:val="409" w:hRule="atLeast"/>
          <w:tblHeader w:val="0"/>
        </w:trPr>
        <w:tc>
          <w:tcPr>
            <w:shd w:fill="auto" w:val="clear"/>
          </w:tcPr>
          <w:p w:rsidR="00000000" w:rsidDel="00000000" w:rsidP="00000000" w:rsidRDefault="00000000" w:rsidRPr="00000000" w14:paraId="0000000F">
            <w:pPr>
              <w:numPr>
                <w:ilvl w:val="0"/>
                <w:numId w:val="1"/>
              </w:numPr>
              <w:spacing w:after="120" w:before="120" w:line="240" w:lineRule="auto"/>
              <w:ind w:left="25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Analyze and formulate possible solutions to math related problems that consider social, economic, political, or scientific issues</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rtl w:val="0"/>
              </w:rPr>
              <w:t xml:space="preserve"> We can identify how the students will be assessed in the footnotes below. I can show you when we meet. </w:t>
            </w:r>
            <w:r w:rsidDel="00000000" w:rsidR="00000000" w:rsidRPr="00000000">
              <w:rPr>
                <w:rtl w:val="0"/>
              </w:rPr>
            </w:r>
          </w:p>
        </w:tc>
        <w:tc>
          <w:tcPr/>
          <w:p w:rsidR="00000000" w:rsidDel="00000000" w:rsidP="00000000" w:rsidRDefault="00000000" w:rsidRPr="00000000" w14:paraId="0000001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br w:type="textWrapping"/>
              <w:t xml:space="preserve">(2023-24)</w:t>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r>
        <w:trPr>
          <w:cantSplit w:val="0"/>
          <w:trHeight w:val="409" w:hRule="atLeast"/>
          <w:tblHeader w:val="0"/>
        </w:trPr>
        <w:tc>
          <w:tcPr>
            <w:shd w:fill="auto" w:val="clear"/>
          </w:tcPr>
          <w:p w:rsidR="00000000" w:rsidDel="00000000" w:rsidP="00000000" w:rsidRDefault="00000000" w:rsidRPr="00000000" w14:paraId="00000014">
            <w:pPr>
              <w:numPr>
                <w:ilvl w:val="0"/>
                <w:numId w:val="1"/>
              </w:numPr>
              <w:spacing w:after="120" w:before="120" w:line="240" w:lineRule="auto"/>
              <w:ind w:left="25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Communicate information using mathematical symbols, graphs and vocabulary</w:t>
            </w:r>
            <w:r w:rsidDel="00000000" w:rsidR="00000000" w:rsidRPr="00000000">
              <w:rPr>
                <w:rtl w:val="0"/>
              </w:rPr>
            </w:r>
          </w:p>
        </w:tc>
        <w:tc>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br w:type="textWrapping"/>
              <w:t xml:space="preserve">(2024-25)</w:t>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r>
        <w:trPr>
          <w:cantSplit w:val="0"/>
          <w:trHeight w:val="88" w:hRule="atLeast"/>
          <w:tblHeader w:val="0"/>
        </w:trPr>
        <w:tc>
          <w:tcPr>
            <w:shd w:fill="auto" w:val="clear"/>
          </w:tcPr>
          <w:p w:rsidR="00000000" w:rsidDel="00000000" w:rsidP="00000000" w:rsidRDefault="00000000" w:rsidRPr="00000000" w14:paraId="00000019">
            <w:pPr>
              <w:numPr>
                <w:ilvl w:val="0"/>
                <w:numId w:val="1"/>
              </w:numPr>
              <w:spacing w:after="120" w:before="120" w:line="240" w:lineRule="auto"/>
              <w:ind w:left="25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Apply techniques used for data analysis, graphical presentation, and other computational skills </w:t>
            </w:r>
            <w:r w:rsidDel="00000000" w:rsidR="00000000" w:rsidRPr="00000000">
              <w:rPr>
                <w:rtl w:val="0"/>
              </w:rPr>
            </w:r>
          </w:p>
        </w:tc>
        <w:tc>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br w:type="textWrapping"/>
              <w:t xml:space="preserve">(2025-26)</w:t>
            </w:r>
          </w:p>
        </w:tc>
        <w:tc>
          <w:tcPr>
            <w:tcBorders>
              <w:top w:color="000000" w:space="0" w:sz="4" w:val="single"/>
            </w:tcBorders>
            <w:shd w:fill="auto" w:val="clear"/>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after="120" w:line="240" w:lineRule="auto"/>
        <w:rPr>
          <w:rFonts w:ascii="Times New Roman" w:cs="Times New Roman" w:eastAsia="Times New Roman" w:hAnsi="Times New Roman"/>
          <w:sz w:val="20"/>
          <w:szCs w:val="20"/>
          <w:highlight w:val="whit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Dorci, Jonah, and Amber. Faculty decided to use MA 121 for assessment because there are more students/data (MA 171 and 172 usually have only 1-2 students. </w:t>
      </w:r>
    </w:p>
  </w:footnote>
  <w:footnote w:id="2">
    <w:p w:rsidR="00000000" w:rsidDel="00000000" w:rsidP="00000000" w:rsidRDefault="00000000" w:rsidRPr="00000000" w14:paraId="00000022">
      <w:pPr>
        <w:spacing w:after="120" w:line="240" w:lineRule="auto"/>
        <w:rPr>
          <w:rFonts w:ascii="Times New Roman" w:cs="Times New Roman" w:eastAsia="Times New Roman" w:hAnsi="Times New Roman"/>
          <w:sz w:val="20"/>
          <w:szCs w:val="20"/>
          <w:highlight w:val="white"/>
          <w:u w:val="singl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1 is assessed in MA 121 (college algebra) in test #3.</w:t>
      </w:r>
      <w:r w:rsidDel="00000000" w:rsidR="00000000" w:rsidRPr="00000000">
        <w:rPr>
          <w:rtl w:val="0"/>
        </w:rPr>
      </w:r>
    </w:p>
  </w:footnote>
  <w:footnote w:id="3">
    <w:p w:rsidR="00000000" w:rsidDel="00000000" w:rsidP="00000000" w:rsidRDefault="00000000" w:rsidRPr="00000000" w14:paraId="00000023">
      <w:pPr>
        <w:spacing w:after="120" w:line="240" w:lineRule="auto"/>
        <w:rPr>
          <w:rFonts w:ascii="Times New Roman" w:cs="Times New Roman" w:eastAsia="Times New Roman" w:hAnsi="Times New Roman"/>
          <w:sz w:val="20"/>
          <w:szCs w:val="20"/>
          <w:highlight w:val="white"/>
          <w:u w:val="singl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2 is assessed in MA 121 (college algebra) in test #2.</w:t>
      </w:r>
      <w:r w:rsidDel="00000000" w:rsidR="00000000" w:rsidRPr="00000000">
        <w:rPr>
          <w:rtl w:val="0"/>
        </w:rPr>
      </w:r>
    </w:p>
  </w:footnote>
  <w:footnote w:id="4">
    <w:p w:rsidR="00000000" w:rsidDel="00000000" w:rsidP="00000000" w:rsidRDefault="00000000" w:rsidRPr="00000000" w14:paraId="00000024">
      <w:pPr>
        <w:spacing w:after="120" w:line="240" w:lineRule="auto"/>
        <w:rPr>
          <w:rFonts w:ascii="Times New Roman" w:cs="Times New Roman" w:eastAsia="Times New Roman" w:hAnsi="Times New Roman"/>
          <w:sz w:val="20"/>
          <w:szCs w:val="20"/>
          <w:highlight w:val="white"/>
          <w:u w:val="singl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3 is assessed in MA 121 (college algebra) in test #2 and test #3.</w:t>
      </w:r>
      <w:r w:rsidDel="00000000" w:rsidR="00000000" w:rsidRPr="00000000">
        <w:rPr>
          <w:rtl w:val="0"/>
        </w:rPr>
      </w:r>
    </w:p>
  </w:footnote>
  <w:footnote w:id="5">
    <w:p w:rsidR="00000000" w:rsidDel="00000000" w:rsidP="00000000" w:rsidRDefault="00000000" w:rsidRPr="00000000" w14:paraId="00000025">
      <w:pPr>
        <w:spacing w:after="120" w:line="240" w:lineRule="auto"/>
        <w:rPr>
          <w:rFonts w:ascii="Times New Roman" w:cs="Times New Roman" w:eastAsia="Times New Roman" w:hAnsi="Times New Roman"/>
          <w:sz w:val="20"/>
          <w:szCs w:val="20"/>
          <w:highlight w:val="white"/>
          <w:u w:val="singl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4 is assessed in MA 121 (college algebra) in test #2 and test #3.</w:t>
      </w:r>
      <w:r w:rsidDel="00000000" w:rsidR="00000000" w:rsidRPr="00000000">
        <w:rPr>
          <w:rtl w:val="0"/>
        </w:rPr>
      </w:r>
    </w:p>
  </w:footnote>
  <w:footnote w:id="1">
    <w:p w:rsidR="00000000" w:rsidDel="00000000" w:rsidP="00000000" w:rsidRDefault="00000000" w:rsidRPr="00000000" w14:paraId="00000026">
      <w:pPr>
        <w:spacing w:after="120" w:line="240" w:lineRule="auto"/>
        <w:rPr>
          <w:rFonts w:ascii="Times New Roman" w:cs="Times New Roman" w:eastAsia="Times New Roman" w:hAnsi="Times New Roman"/>
          <w:sz w:val="20"/>
          <w:szCs w:val="20"/>
          <w:highlight w:val="yellow"/>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Note: We decided to use MA 121 for the assessment because there are more students (and more data) in MA 121. MA 171 and 172 typically only have 1-2 students.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S265wKIN5pHzsUgHjZnR7xp9DQ==">CgMxLjAyCGguZ2pkZ3hzOAByITFPU0pmVWVJSERrWU1peDFTRHpreDJZWHBVemhyMGI4VA==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