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LBHC Associate of Science Degree in Mathematics (includes the math and pre-engineering options)</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Note: This plan includes only the required courses, beyond the general education requirements, that are in common with the math and pre-engineering options. </w:t>
      </w:r>
    </w:p>
    <w:p w:rsidR="00000000" w:rsidDel="00000000" w:rsidP="00000000" w:rsidRDefault="00000000" w:rsidRPr="00000000" w14:paraId="00000004">
      <w:pPr>
        <w:spacing w:after="120" w:line="240" w:lineRule="auto"/>
        <w:rPr>
          <w:sz w:val="24"/>
          <w:szCs w:val="24"/>
        </w:rPr>
      </w:pPr>
      <w:r w:rsidDel="00000000" w:rsidR="00000000" w:rsidRPr="00000000">
        <w:rPr>
          <w:sz w:val="24"/>
          <w:szCs w:val="24"/>
          <w:rtl w:val="0"/>
        </w:rPr>
        <w:t xml:space="preserve">Updated 06.14.2024</w:t>
      </w:r>
    </w:p>
    <w:tbl>
      <w:tblPr>
        <w:tblStyle w:val="Table1"/>
        <w:tblW w:w="13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5"/>
        <w:gridCol w:w="1290"/>
        <w:gridCol w:w="1230"/>
        <w:gridCol w:w="1065"/>
        <w:gridCol w:w="1740"/>
        <w:tblGridChange w:id="0">
          <w:tblGrid>
            <w:gridCol w:w="8355"/>
            <w:gridCol w:w="1290"/>
            <w:gridCol w:w="1230"/>
            <w:gridCol w:w="1065"/>
            <w:gridCol w:w="1740"/>
          </w:tblGrid>
        </w:tblGridChange>
      </w:tblGrid>
      <w:tr>
        <w:trPr>
          <w:cantSplit w:val="0"/>
          <w:trHeight w:val="775.95703125"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learning outcomes: </w:t>
            </w:r>
            <w:r w:rsidDel="00000000" w:rsidR="00000000" w:rsidRPr="00000000">
              <w:rPr>
                <w:rFonts w:ascii="Times New Roman" w:cs="Times New Roman" w:eastAsia="Times New Roman" w:hAnsi="Times New Roman"/>
                <w:i w:val="1"/>
                <w:color w:val="000000"/>
                <w:rtl w:val="0"/>
              </w:rPr>
              <w:t xml:space="preserve">Graduates should be able t</w:t>
            </w:r>
            <w:r w:rsidDel="00000000" w:rsidR="00000000" w:rsidRPr="00000000">
              <w:rPr>
                <w:rFonts w:ascii="Times New Roman" w:cs="Times New Roman" w:eastAsia="Times New Roman" w:hAnsi="Times New Roman"/>
                <w:i w:val="1"/>
                <w:rtl w:val="0"/>
              </w:rPr>
              <w:t xml:space="preserve">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w:t>
              <w:br w:type="textWrapping"/>
              <w:t xml:space="preserve">216</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w:t>
              <w:br w:type="textWrapping"/>
              <w:t xml:space="preserve">121</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tl w:val="0"/>
              </w:rPr>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 </w:t>
              <w:br w:type="textWrapping"/>
              <w:t xml:space="preserve">171</w:t>
            </w:r>
          </w:p>
        </w:tc>
        <w:tc>
          <w:tcPr>
            <w:tcBorders>
              <w:top w:color="000000" w:space="0" w:sz="4" w:val="single"/>
              <w:bottom w:color="000000" w:space="0" w:sz="4" w:val="single"/>
            </w:tcBorders>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w:t>
              <w:br w:type="textWrapping"/>
              <w:t xml:space="preserve">172</w:t>
            </w:r>
          </w:p>
        </w:tc>
      </w:tr>
      <w:tr>
        <w:trPr>
          <w:cantSplit w:val="0"/>
          <w:trHeight w:val="213" w:hRule="atLeast"/>
          <w:tblHeader w:val="0"/>
        </w:trPr>
        <w:tc>
          <w:tcPr>
            <w:shd w:fill="auto" w:val="clear"/>
          </w:tcPr>
          <w:p w:rsidR="00000000" w:rsidDel="00000000" w:rsidP="00000000" w:rsidRDefault="00000000" w:rsidRPr="00000000" w14:paraId="0000000A">
            <w:pPr>
              <w:numPr>
                <w:ilvl w:val="0"/>
                <w:numId w:val="1"/>
              </w:numPr>
              <w:spacing w:after="120" w:before="120" w:line="240" w:lineRule="auto"/>
              <w:ind w:left="360" w:right="-6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math facts, concepts, and relationships.</w:t>
            </w:r>
          </w:p>
        </w:tc>
        <w:tc>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tcBorders>
              <w:top w:color="000000" w:space="0" w:sz="4" w:val="single"/>
            </w:tcBorders>
            <w:shd w:fill="auto" w:val="clear"/>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br w:type="textWrapping"/>
              <w:t xml:space="preserve">(2022-23)</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R</w:t>
            </w: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0F">
            <w:pPr>
              <w:numPr>
                <w:ilvl w:val="0"/>
                <w:numId w:val="1"/>
              </w:numPr>
              <w:spacing w:after="120" w:before="120" w:line="240" w:lineRule="auto"/>
              <w:ind w:left="25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Analyze and formulate possible solutions to math related problems that consider social, economic, political, or scientific issues. </w:t>
            </w:r>
            <w:r w:rsidDel="00000000" w:rsidR="00000000" w:rsidRPr="00000000">
              <w:rPr>
                <w:rtl w:val="0"/>
              </w:rPr>
            </w:r>
          </w:p>
        </w:tc>
        <w:tc>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11">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br w:type="textWrapping"/>
              <w:t xml:space="preserve">(2023-24)</w:t>
            </w:r>
          </w:p>
        </w:tc>
        <w:tc>
          <w:tcPr>
            <w:tcBorders>
              <w:top w:color="000000" w:space="0" w:sz="4" w:val="single"/>
            </w:tcBorders>
            <w:shd w:fill="auto" w:val="clear"/>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tcBorders>
              <w:top w:color="000000" w:space="0" w:sz="4" w:val="single"/>
            </w:tcBorders>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rHeight w:val="409" w:hRule="atLeast"/>
          <w:tblHeader w:val="0"/>
        </w:trPr>
        <w:tc>
          <w:tcPr>
            <w:shd w:fill="auto" w:val="clear"/>
          </w:tcPr>
          <w:p w:rsidR="00000000" w:rsidDel="00000000" w:rsidP="00000000" w:rsidRDefault="00000000" w:rsidRPr="00000000" w14:paraId="00000014">
            <w:pPr>
              <w:numPr>
                <w:ilvl w:val="0"/>
                <w:numId w:val="1"/>
              </w:numPr>
              <w:spacing w:after="120" w:before="120" w:line="240" w:lineRule="auto"/>
              <w:ind w:left="25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Communicate information using mathematical symbols, graphs, and vocabulary.</w:t>
            </w:r>
            <w:r w:rsidDel="00000000" w:rsidR="00000000" w:rsidRPr="00000000">
              <w:rPr>
                <w:rtl w:val="0"/>
              </w:rPr>
            </w:r>
          </w:p>
        </w:tc>
        <w:tc>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br w:type="textWrapping"/>
              <w:t xml:space="preserve">(2024-25)</w:t>
            </w:r>
          </w:p>
        </w:tc>
        <w:tc>
          <w:tcPr>
            <w:tcBorders>
              <w:top w:color="000000" w:space="0" w:sz="4" w:val="single"/>
            </w:tcBorders>
            <w:shd w:fill="auto" w:val="clear"/>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tcBorders>
              <w:top w:color="000000" w:space="0" w:sz="4" w:val="single"/>
            </w:tcBorders>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r>
        <w:trPr>
          <w:cantSplit w:val="0"/>
          <w:trHeight w:val="88" w:hRule="atLeast"/>
          <w:tblHeader w:val="0"/>
        </w:trPr>
        <w:tc>
          <w:tcPr>
            <w:shd w:fill="auto" w:val="clear"/>
          </w:tcPr>
          <w:p w:rsidR="00000000" w:rsidDel="00000000" w:rsidP="00000000" w:rsidRDefault="00000000" w:rsidRPr="00000000" w14:paraId="00000019">
            <w:pPr>
              <w:numPr>
                <w:ilvl w:val="0"/>
                <w:numId w:val="1"/>
              </w:numPr>
              <w:spacing w:after="120" w:before="120" w:line="240" w:lineRule="auto"/>
              <w:ind w:left="255"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Apply techniques used for data analysis, graphical presentation, and other computational skills.</w:t>
            </w:r>
            <w:r w:rsidDel="00000000" w:rsidR="00000000" w:rsidRPr="00000000">
              <w:rPr>
                <w:rtl w:val="0"/>
              </w:rPr>
            </w:r>
          </w:p>
        </w:tc>
        <w:tc>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c>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br w:type="textWrapping"/>
              <w:t xml:space="preserve">(2025-26)</w:t>
            </w:r>
          </w:p>
        </w:tc>
        <w:tc>
          <w:tcPr>
            <w:tcBorders>
              <w:top w:color="000000" w:space="0" w:sz="4" w:val="single"/>
            </w:tcBorders>
            <w:shd w:fill="auto" w:val="clear"/>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c>
          <w:tcPr>
            <w:tcBorders>
              <w:top w:color="000000" w:space="0" w:sz="4" w:val="single"/>
            </w:tcBorders>
          </w:tcPr>
          <w:p w:rsidR="00000000" w:rsidDel="00000000" w:rsidP="00000000" w:rsidRDefault="00000000" w:rsidRPr="00000000" w14:paraId="0000001D">
            <w:pPr>
              <w:spacing w:after="120" w:before="120" w:line="240" w:lineRule="auto"/>
              <w:ind w:left="-100" w:right="-98"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w:t>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color w:val="000000"/>
          <w:sz w:val="2"/>
          <w:szCs w:val="2"/>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after="120" w:line="240" w:lineRule="auto"/>
        <w:rPr>
          <w:rFonts w:ascii="Times New Roman" w:cs="Times New Roman" w:eastAsia="Times New Roman" w:hAnsi="Times New Roman"/>
          <w:sz w:val="20"/>
          <w:szCs w:val="20"/>
          <w:highlight w:val="whit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Dorci, and Amber. Faculty decided to use MA 121 for assessment because there are more students/data (MA 171 and 172 usually have only 1-2 students. </w:t>
      </w:r>
    </w:p>
  </w:footnote>
  <w:footnote w:id="2">
    <w:p w:rsidR="00000000" w:rsidDel="00000000" w:rsidP="00000000" w:rsidRDefault="00000000" w:rsidRPr="00000000" w14:paraId="00000022">
      <w:pPr>
        <w:spacing w:after="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1 is assessed in MA 121 (college algebra) in test #3 </w:t>
      </w:r>
      <w:r w:rsidDel="00000000" w:rsidR="00000000" w:rsidRPr="00000000">
        <w:rPr>
          <w:rFonts w:ascii="Times New Roman" w:cs="Times New Roman" w:eastAsia="Times New Roman" w:hAnsi="Times New Roman"/>
          <w:sz w:val="20"/>
          <w:szCs w:val="20"/>
          <w:rtl w:val="0"/>
        </w:rPr>
        <w:t xml:space="preserve">(through written work elucidating organizational computation steps, providing an explanation of a solution where appropriate and hand drawing graphs of functions and other relations)</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footnote>
  <w:footnote w:id="3">
    <w:p w:rsidR="00000000" w:rsidDel="00000000" w:rsidP="00000000" w:rsidRDefault="00000000" w:rsidRPr="00000000" w14:paraId="00000023">
      <w:pPr>
        <w:spacing w:after="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2 is assessed in MA 121 (college algebra) in test #2.</w:t>
      </w:r>
      <w:r w:rsidDel="00000000" w:rsidR="00000000" w:rsidRPr="00000000">
        <w:rPr>
          <w:rtl w:val="0"/>
        </w:rPr>
      </w:r>
    </w:p>
  </w:footnote>
  <w:footnote w:id="4">
    <w:p w:rsidR="00000000" w:rsidDel="00000000" w:rsidP="00000000" w:rsidRDefault="00000000" w:rsidRPr="00000000" w14:paraId="00000024">
      <w:pPr>
        <w:spacing w:after="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3 is assessed in MA 121 (college algebra) in test #2 and test #3.</w:t>
      </w:r>
      <w:r w:rsidDel="00000000" w:rsidR="00000000" w:rsidRPr="00000000">
        <w:rPr>
          <w:rtl w:val="0"/>
        </w:rPr>
      </w:r>
    </w:p>
  </w:footnote>
  <w:footnote w:id="5">
    <w:p w:rsidR="00000000" w:rsidDel="00000000" w:rsidP="00000000" w:rsidRDefault="00000000" w:rsidRPr="00000000" w14:paraId="00000025">
      <w:pPr>
        <w:spacing w:after="120" w:line="240" w:lineRule="auto"/>
        <w:rPr>
          <w:rFonts w:ascii="Times New Roman" w:cs="Times New Roman" w:eastAsia="Times New Roman" w:hAnsi="Times New Roman"/>
          <w:sz w:val="20"/>
          <w:szCs w:val="20"/>
          <w:highlight w:val="white"/>
          <w:u w:val="single"/>
        </w:rPr>
      </w:pPr>
      <w:r w:rsidDel="00000000" w:rsidR="00000000" w:rsidRPr="00000000">
        <w:rPr>
          <w:rStyle w:val="FootnoteReference"/>
          <w:vertAlign w:val="superscript"/>
        </w:rPr>
        <w:footnoteRef/>
      </w:r>
      <w:r w:rsidDel="00000000" w:rsidR="00000000" w:rsidRPr="00000000">
        <w:rPr>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Program learning outcome 4 is assessed in MA 121 (college algebra) in test #2 and test #3.</w:t>
      </w:r>
      <w:r w:rsidDel="00000000" w:rsidR="00000000" w:rsidRPr="00000000">
        <w:rPr>
          <w:rtl w:val="0"/>
        </w:rPr>
      </w:r>
    </w:p>
  </w:footnote>
  <w:footnote w:id="1">
    <w:p w:rsidR="00000000" w:rsidDel="00000000" w:rsidP="00000000" w:rsidRDefault="00000000" w:rsidRPr="00000000" w14:paraId="00000026">
      <w:pPr>
        <w:spacing w:after="120" w:line="240" w:lineRule="auto"/>
        <w:rPr>
          <w:rFonts w:ascii="Times New Roman" w:cs="Times New Roman" w:eastAsia="Times New Roman" w:hAnsi="Times New Roman"/>
          <w:sz w:val="20"/>
          <w:szCs w:val="20"/>
          <w:highlight w:val="yellow"/>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Note: We decided to use MA 121 for the assessment because there are more students (and more data) in MA 121. MA 171 and 172 typically only have 1-2 students.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265wKIN5pHzsUgHjZnR7xp9DQ==">CgMxLjAyCGguZ2pkZ3hzOAByITFPU0pmVWVJSERrWU1peDFTRHpreDJZWHBVemhyMGI4VA==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