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r w:rsidDel="00000000" w:rsidR="00000000" w:rsidRPr="00000000">
        <w:rPr>
          <w:b w:val="1"/>
          <w:color w:val="ac0502"/>
          <w:sz w:val="28"/>
          <w:szCs w:val="28"/>
          <w:rtl w:val="0"/>
        </w:rPr>
        <w:t xml:space="preserve">LBHC Associate of Arts Degree in Human Services (Human Services Option) </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05.23.2024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5"/>
        <w:gridCol w:w="990"/>
        <w:gridCol w:w="645"/>
        <w:gridCol w:w="930"/>
        <w:gridCol w:w="960"/>
        <w:gridCol w:w="810"/>
        <w:gridCol w:w="795"/>
        <w:gridCol w:w="585"/>
        <w:gridCol w:w="945"/>
        <w:gridCol w:w="990"/>
        <w:gridCol w:w="990"/>
        <w:tblGridChange w:id="0">
          <w:tblGrid>
            <w:gridCol w:w="5565"/>
            <w:gridCol w:w="990"/>
            <w:gridCol w:w="645"/>
            <w:gridCol w:w="930"/>
            <w:gridCol w:w="960"/>
            <w:gridCol w:w="810"/>
            <w:gridCol w:w="795"/>
            <w:gridCol w:w="585"/>
            <w:gridCol w:w="945"/>
            <w:gridCol w:w="990"/>
            <w:gridCol w:w="990"/>
          </w:tblGrid>
        </w:tblGridChange>
      </w:tblGrid>
      <w:tr>
        <w:trPr>
          <w:cantSplit w:val="0"/>
          <w:trHeight w:val="84.9609375"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Program learning outcomes: </w:t>
              <w:br w:type="textWrapping"/>
            </w:r>
            <w:r w:rsidDel="00000000" w:rsidR="00000000" w:rsidRPr="00000000">
              <w:rPr>
                <w:rFonts w:ascii="Times New Roman" w:cs="Times New Roman" w:eastAsia="Times New Roman" w:hAnsi="Times New Roman"/>
                <w:i w:val="1"/>
                <w:color w:val="000000"/>
                <w:sz w:val="20"/>
                <w:szCs w:val="20"/>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w:t>
              <w:br w:type="textWrapping"/>
              <w:t xml:space="preserve">230</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232</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233</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 </w:t>
              <w:br w:type="textWrapping"/>
              <w:t xml:space="preserve">236/239</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w:t>
              <w:br w:type="textWrapping"/>
              <w:t xml:space="preserve">276</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101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102</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201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w:t>
              <w:br w:type="textWrapping"/>
              <w:t xml:space="preserve">203</w:t>
            </w:r>
          </w:p>
        </w:tc>
      </w:tr>
      <w:tr>
        <w:trPr>
          <w:cantSplit w:val="0"/>
          <w:trHeight w:val="179.94140625" w:hRule="atLeast"/>
          <w:tblHeader w:val="0"/>
        </w:trPr>
        <w:tc>
          <w:tcPr>
            <w:tcBorders>
              <w:top w:color="000000" w:space="0" w:sz="4" w:val="single"/>
            </w:tcBorders>
            <w:shd w:fill="auto" w:val="clear"/>
          </w:tcPr>
          <w:p w:rsidR="00000000" w:rsidDel="00000000" w:rsidP="00000000" w:rsidRDefault="00000000" w:rsidRPr="00000000" w14:paraId="00000010">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Conduct mock counseling sessions.</w:t>
            </w:r>
          </w:p>
        </w:tc>
        <w:tc>
          <w:tcPr>
            <w:tcBorders>
              <w:top w:color="000000" w:space="0" w:sz="4" w:val="single"/>
            </w:tcBorders>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1"/>
            </w:r>
            <w:r w:rsidDel="00000000" w:rsidR="00000000" w:rsidRPr="00000000">
              <w:rPr>
                <w:rFonts w:ascii="Times New Roman" w:cs="Times New Roman" w:eastAsia="Times New Roman" w:hAnsi="Times New Roman"/>
                <w:color w:val="000000"/>
                <w:sz w:val="20"/>
                <w:szCs w:val="20"/>
                <w:rtl w:val="0"/>
              </w:rPr>
              <w:br w:type="textWrapping"/>
              <w:t xml:space="preserve">(2022-23)</w:t>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5">
            <w:pPr>
              <w:spacing w:after="120" w:before="120" w:line="240" w:lineRule="auto"/>
              <w:ind w:left="-100" w:right="-98"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000000" w:space="0" w:sz="4" w:val="single"/>
            </w:tcBorders>
          </w:tcPr>
          <w:p w:rsidR="00000000" w:rsidDel="00000000" w:rsidP="00000000" w:rsidRDefault="00000000" w:rsidRPr="00000000" w14:paraId="00000019">
            <w:pPr>
              <w:spacing w:after="120" w:before="120" w:line="240" w:lineRule="auto"/>
              <w:ind w:left="-100" w:right="-98"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645" w:hRule="atLeast"/>
          <w:tblHeader w:val="0"/>
        </w:trPr>
        <w:tc>
          <w:tcPr>
            <w:shd w:fill="auto" w:val="clear"/>
          </w:tcPr>
          <w:p w:rsidR="00000000" w:rsidDel="00000000" w:rsidP="00000000" w:rsidRDefault="00000000" w:rsidRPr="00000000" w14:paraId="0000001B">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Identify characteristics of some of the most commonly occurring mental health diagnoses.</w:t>
            </w:r>
          </w:p>
        </w:tc>
        <w:tc>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2"/>
            </w:r>
            <w:r w:rsidDel="00000000" w:rsidR="00000000" w:rsidRPr="00000000">
              <w:rPr>
                <w:rFonts w:ascii="Times New Roman" w:cs="Times New Roman" w:eastAsia="Times New Roman" w:hAnsi="Times New Roman"/>
                <w:color w:val="000000"/>
                <w:sz w:val="20"/>
                <w:szCs w:val="20"/>
                <w:rtl w:val="0"/>
              </w:rPr>
              <w:br w:type="textWrapping"/>
              <w:t xml:space="preserve">(2023-24)</w:t>
            </w:r>
          </w:p>
        </w:tc>
      </w:tr>
      <w:tr>
        <w:trPr>
          <w:cantSplit w:val="0"/>
          <w:trHeight w:val="84.9609375" w:hRule="atLeast"/>
          <w:tblHeader w:val="0"/>
        </w:trPr>
        <w:tc>
          <w:tcPr>
            <w:shd w:fill="auto" w:val="clear"/>
          </w:tcPr>
          <w:p w:rsidR="00000000" w:rsidDel="00000000" w:rsidP="00000000" w:rsidRDefault="00000000" w:rsidRPr="00000000" w14:paraId="00000026">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Compare designs of clinical research methods. </w:t>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3"/>
            </w:r>
            <w:r w:rsidDel="00000000" w:rsidR="00000000" w:rsidRPr="00000000">
              <w:rPr>
                <w:rFonts w:ascii="Times New Roman" w:cs="Times New Roman" w:eastAsia="Times New Roman" w:hAnsi="Times New Roman"/>
                <w:color w:val="000000"/>
                <w:sz w:val="20"/>
                <w:szCs w:val="20"/>
                <w:rtl w:val="0"/>
              </w:rPr>
              <w:br w:type="textWrapping"/>
              <w:t xml:space="preserve">(2024-25)</w:t>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88" w:hRule="atLeast"/>
          <w:tblHeader w:val="0"/>
        </w:trPr>
        <w:tc>
          <w:tcPr>
            <w:shd w:fill="auto" w:val="clear"/>
          </w:tcPr>
          <w:p w:rsidR="00000000" w:rsidDel="00000000" w:rsidP="00000000" w:rsidRDefault="00000000" w:rsidRPr="00000000" w14:paraId="00000031">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Explain professional ethical decision-making.</w:t>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4"/>
            </w:r>
            <w:r w:rsidDel="00000000" w:rsidR="00000000" w:rsidRPr="00000000">
              <w:rPr>
                <w:rFonts w:ascii="Times New Roman" w:cs="Times New Roman" w:eastAsia="Times New Roman" w:hAnsi="Times New Roman"/>
                <w:color w:val="000000"/>
                <w:sz w:val="20"/>
                <w:szCs w:val="20"/>
                <w:rtl w:val="0"/>
              </w:rPr>
              <w:br w:type="textWrapping"/>
              <w:t xml:space="preserve">(2025-26)</w:t>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506" w:hRule="atLeast"/>
          <w:tblHeader w:val="0"/>
        </w:trPr>
        <w:tc>
          <w:tcPr>
            <w:shd w:fill="auto" w:val="clear"/>
          </w:tcPr>
          <w:p w:rsidR="00000000" w:rsidDel="00000000" w:rsidP="00000000" w:rsidRDefault="00000000" w:rsidRPr="00000000" w14:paraId="0000003C">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psychological practice in culturally responsive ways within the Apsaalooke community and multicultural settings.</w:t>
            </w:r>
          </w:p>
        </w:tc>
        <w:tc>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3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4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2">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43">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44">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5"/>
            </w:r>
            <w:r w:rsidDel="00000000" w:rsidR="00000000" w:rsidRPr="00000000">
              <w:rPr>
                <w:rFonts w:ascii="Times New Roman" w:cs="Times New Roman" w:eastAsia="Times New Roman" w:hAnsi="Times New Roman"/>
                <w:color w:val="000000"/>
                <w:sz w:val="20"/>
                <w:szCs w:val="20"/>
                <w:rtl w:val="0"/>
              </w:rPr>
              <w:br w:type="textWrapping"/>
              <w:t xml:space="preserve">(2026-27)</w:t>
            </w:r>
          </w:p>
        </w:tc>
        <w:tc>
          <w:tcPr/>
          <w:p w:rsidR="00000000" w:rsidDel="00000000" w:rsidP="00000000" w:rsidRDefault="00000000" w:rsidRPr="00000000" w14:paraId="00000045">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46">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r>
        <w:trPr>
          <w:cantSplit w:val="0"/>
          <w:trHeight w:val="506" w:hRule="atLeast"/>
          <w:tblHeader w:val="0"/>
        </w:trPr>
        <w:tc>
          <w:tcPr>
            <w:shd w:fill="auto" w:val="clear"/>
          </w:tcPr>
          <w:p w:rsidR="00000000" w:rsidDel="00000000" w:rsidP="00000000" w:rsidRDefault="00000000" w:rsidRPr="00000000" w14:paraId="00000047">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Evaluate personal and professional development using psychological concepts</w:t>
            </w:r>
          </w:p>
        </w:tc>
        <w:tc>
          <w:tcPr/>
          <w:p w:rsidR="00000000" w:rsidDel="00000000" w:rsidP="00000000" w:rsidRDefault="00000000" w:rsidRPr="00000000" w14:paraId="00000048">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vertAlign w:val="superscript"/>
              </w:rPr>
              <w:footnoteReference w:customMarkFollows="0" w:id="6"/>
            </w:r>
            <w:r w:rsidDel="00000000" w:rsidR="00000000" w:rsidRPr="00000000">
              <w:rPr>
                <w:rFonts w:ascii="Times New Roman" w:cs="Times New Roman" w:eastAsia="Times New Roman" w:hAnsi="Times New Roman"/>
                <w:color w:val="000000"/>
                <w:sz w:val="20"/>
                <w:szCs w:val="20"/>
                <w:rtl w:val="0"/>
              </w:rPr>
              <w:br w:type="textWrapping"/>
              <w:t xml:space="preserve">(2027-28)</w:t>
            </w:r>
          </w:p>
        </w:tc>
        <w:tc>
          <w:tcPr>
            <w:shd w:fill="auto" w:val="clear"/>
          </w:tcPr>
          <w:p w:rsidR="00000000" w:rsidDel="00000000" w:rsidP="00000000" w:rsidRDefault="00000000" w:rsidRPr="00000000" w14:paraId="00000049">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4A">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4B">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C">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D">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shd w:fill="auto" w:val="clear"/>
          </w:tcPr>
          <w:p w:rsidR="00000000" w:rsidDel="00000000" w:rsidP="00000000" w:rsidRDefault="00000000" w:rsidRPr="00000000" w14:paraId="0000004E">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w:t>
            </w:r>
          </w:p>
        </w:tc>
        <w:tc>
          <w:tcPr>
            <w:shd w:fill="auto" w:val="clear"/>
          </w:tcPr>
          <w:p w:rsidR="00000000" w:rsidDel="00000000" w:rsidP="00000000" w:rsidRDefault="00000000" w:rsidRPr="00000000" w14:paraId="0000004F">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50">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p w:rsidR="00000000" w:rsidDel="00000000" w:rsidP="00000000" w:rsidRDefault="00000000" w:rsidRPr="00000000" w14:paraId="00000051">
            <w:pPr>
              <w:spacing w:after="120" w:before="120" w:line="240" w:lineRule="auto"/>
              <w:ind w:left="-100"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spacing w:after="120" w:line="24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Eric Tiner and Sharon Peregoy</w:t>
      </w:r>
    </w:p>
  </w:footnote>
  <w:footnote w:id="1">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1 is assessed in HS 232 Fundamentals of Counseling in the 15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00"/>
          <w:sz w:val="20"/>
          <w:szCs w:val="20"/>
          <w:rtl w:val="0"/>
        </w:rPr>
        <w:t xml:space="preserve">asic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00"/>
          <w:sz w:val="20"/>
          <w:szCs w:val="20"/>
          <w:rtl w:val="0"/>
        </w:rPr>
        <w:t xml:space="preserve">ounseling </w:t>
      </w: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color w:val="000000"/>
          <w:sz w:val="20"/>
          <w:szCs w:val="20"/>
          <w:rtl w:val="0"/>
        </w:rPr>
        <w:t xml:space="preserve">esponses </w:t>
      </w:r>
      <w:r w:rsidDel="00000000" w:rsidR="00000000" w:rsidRPr="00000000">
        <w:rPr>
          <w:rFonts w:ascii="Times New Roman" w:cs="Times New Roman" w:eastAsia="Times New Roman" w:hAnsi="Times New Roman"/>
          <w:sz w:val="20"/>
          <w:szCs w:val="20"/>
          <w:rtl w:val="0"/>
        </w:rPr>
        <w:t xml:space="preserve">m</w:t>
      </w:r>
      <w:r w:rsidDel="00000000" w:rsidR="00000000" w:rsidRPr="00000000">
        <w:rPr>
          <w:rFonts w:ascii="Times New Roman" w:cs="Times New Roman" w:eastAsia="Times New Roman" w:hAnsi="Times New Roman"/>
          <w:color w:val="000000"/>
          <w:sz w:val="20"/>
          <w:szCs w:val="20"/>
          <w:rtl w:val="0"/>
        </w:rPr>
        <w:t xml:space="preserve">idterm assignment.</w:t>
      </w:r>
      <w:r w:rsidDel="00000000" w:rsidR="00000000" w:rsidRPr="00000000">
        <w:rPr>
          <w:rtl w:val="0"/>
        </w:rPr>
      </w:r>
    </w:p>
  </w:footnote>
  <w:footnote w:id="2">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2 is assessed in PY 203 Abnormal Psychology in the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inal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color w:val="000000"/>
          <w:sz w:val="20"/>
          <w:szCs w:val="20"/>
          <w:rtl w:val="0"/>
        </w:rPr>
        <w:t xml:space="preserve">xam.</w:t>
      </w:r>
      <w:r w:rsidDel="00000000" w:rsidR="00000000" w:rsidRPr="00000000">
        <w:rPr>
          <w:rtl w:val="0"/>
        </w:rPr>
      </w:r>
    </w:p>
  </w:footnote>
  <w:footnote w:id="3">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0" w:line="240" w:lineRule="auto"/>
        <w:rPr>
          <w:rFonts w:ascii="Times New Roman" w:cs="Times New Roman" w:eastAsia="Times New Roman" w:hAnsi="Times New Roman"/>
          <w:color w:val="000000"/>
          <w:sz w:val="20"/>
          <w:szCs w:val="20"/>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3 is assessed in PY 201 Developmental Psychology in the Chapter 2 homework assignment and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00"/>
          <w:sz w:val="20"/>
          <w:szCs w:val="20"/>
          <w:rtl w:val="0"/>
        </w:rPr>
        <w:t xml:space="preserve">hapter 2 quiz.</w:t>
      </w:r>
      <w:r w:rsidDel="00000000" w:rsidR="00000000" w:rsidRPr="00000000">
        <w:rPr>
          <w:rtl w:val="0"/>
        </w:rPr>
      </w:r>
    </w:p>
  </w:footnote>
  <w:footnote w:id="4">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0" w:line="240" w:lineRule="auto"/>
        <w:rPr>
          <w:rFonts w:ascii="Times New Roman" w:cs="Times New Roman" w:eastAsia="Times New Roman" w:hAnsi="Times New Roman"/>
          <w:color w:val="000000"/>
          <w:sz w:val="20"/>
          <w:szCs w:val="20"/>
          <w:highlight w:val="yellow"/>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4 is assessed in </w:t>
      </w:r>
      <w:r w:rsidDel="00000000" w:rsidR="00000000" w:rsidRPr="00000000">
        <w:rPr>
          <w:rFonts w:ascii="Times New Roman" w:cs="Times New Roman" w:eastAsia="Times New Roman" w:hAnsi="Times New Roman"/>
          <w:sz w:val="20"/>
          <w:szCs w:val="20"/>
          <w:rtl w:val="0"/>
        </w:rPr>
        <w:t xml:space="preserve">HS 233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legal, ethical, and professional issues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the final exam.</w:t>
      </w:r>
      <w:r w:rsidDel="00000000" w:rsidR="00000000" w:rsidRPr="00000000">
        <w:rPr>
          <w:rtl w:val="0"/>
        </w:rPr>
      </w:r>
    </w:p>
  </w:footnote>
  <w:footnote w:id="5">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0" w:line="240" w:lineRule="auto"/>
        <w:rPr>
          <w:rFonts w:ascii="Times New Roman" w:cs="Times New Roman" w:eastAsia="Times New Roman" w:hAnsi="Times New Roman"/>
          <w:color w:val="000000"/>
          <w:sz w:val="20"/>
          <w:szCs w:val="20"/>
          <w:highlight w:val="yellow"/>
          <w:u w:val="single"/>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5 is assessed in </w:t>
      </w:r>
      <w:r w:rsidDel="00000000" w:rsidR="00000000" w:rsidRPr="00000000">
        <w:rPr>
          <w:rFonts w:ascii="Times New Roman" w:cs="Times New Roman" w:eastAsia="Times New Roman" w:hAnsi="Times New Roman"/>
          <w:sz w:val="20"/>
          <w:szCs w:val="20"/>
          <w:rtl w:val="0"/>
        </w:rPr>
        <w:t xml:space="preserve">PY 102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American Indian psychology</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the final exam.</w:t>
      </w:r>
      <w:r w:rsidDel="00000000" w:rsidR="00000000" w:rsidRPr="00000000">
        <w:rPr>
          <w:rtl w:val="0"/>
        </w:rPr>
      </w:r>
    </w:p>
  </w:footnote>
  <w:footnote w:id="6">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0" w:line="240" w:lineRule="auto"/>
        <w:rPr>
          <w:rFonts w:ascii="Times New Roman" w:cs="Times New Roman" w:eastAsia="Times New Roman" w:hAnsi="Times New Roman"/>
          <w:color w:val="000000"/>
          <w:sz w:val="20"/>
          <w:szCs w:val="20"/>
          <w:highlight w:val="yellow"/>
          <w:u w:val="singl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Program learning outcome 6 is assessed in </w:t>
      </w:r>
      <w:r w:rsidDel="00000000" w:rsidR="00000000" w:rsidRPr="00000000">
        <w:rPr>
          <w:rFonts w:ascii="Times New Roman" w:cs="Times New Roman" w:eastAsia="Times New Roman" w:hAnsi="Times New Roman"/>
          <w:sz w:val="20"/>
          <w:szCs w:val="20"/>
          <w:rtl w:val="0"/>
        </w:rPr>
        <w:t xml:space="preserve">HS 230</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introduction to human services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the final exam.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2313F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CpYrAbDNhy+ch4gn0pIQ7M8Ow==">CgMxLjAyCGguZ2pkZ3hzMgloLjMwajB6bGw4AHIhMWVMMUNuNnB1cHh6SHBwOHppcEREU2hnWmpSZnhsWURn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2023-07-10T20:05:00Z</dcterms:created>
  <dc:creator>amkarlberg</dc:creator>
</cp:coreProperties>
</file>