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2023-24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College Writing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 will be able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communicate in writing.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40"/>
        <w:gridCol w:w="7185"/>
        <w:tblGridChange w:id="0">
          <w:tblGrid>
            <w:gridCol w:w="7140"/>
            <w:gridCol w:w="7185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180"/>
        <w:gridCol w:w="1320"/>
        <w:gridCol w:w="1305"/>
        <w:gridCol w:w="1320"/>
        <w:gridCol w:w="7095"/>
        <w:tblGridChange w:id="0">
          <w:tblGrid>
            <w:gridCol w:w="3180"/>
            <w:gridCol w:w="1320"/>
            <w:gridCol w:w="1305"/>
            <w:gridCol w:w="1320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320"/>
        <w:tab w:val="right" w:leader="none" w:pos="864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07.22.2023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38H1wqaXSWiZovLFWqtTHHu6Q==">CgMxLjAyCGguZ2pkZ3hzMgloLjMwajB6bGw4AHIhMVBjM0RCNUJoOEVTTEJDdFhFdVU4M3hBX24xODc2ZE41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