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Building Trades certificate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05.08.2024</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Robert Stewart</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rtl w:val="0"/>
              </w:rPr>
              <w:t xml:space="preserve">Explain safety procedures for use and handling of equipment. </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BT 135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2024</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Use personal protective equipment (PPE)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Practice OSHA standards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 demonstration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Handle saws safely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 them and have them practice and demonstrate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 demonstration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X</w:t>
            </w:r>
          </w:p>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 X</w:t>
            </w:r>
          </w:p>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Demonstrate above ground safety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 them and have them practice and demonstrate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 demonstration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3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3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3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Demonstrate framing walls, floor, roof, shingles, and siding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 them and have them practice and demonstrate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 demonstration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3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3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E">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3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40">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41">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2">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44">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X</w:t>
            </w:r>
          </w:p>
          <w:p w:rsidR="00000000" w:rsidDel="00000000" w:rsidP="00000000" w:rsidRDefault="00000000" w:rsidRPr="00000000" w14:paraId="00000045">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6">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struggle with handling saws safely. </w:t>
            </w:r>
          </w:p>
          <w:p w:rsidR="00000000" w:rsidDel="00000000" w:rsidP="00000000" w:rsidRDefault="00000000" w:rsidRPr="00000000" w14:paraId="00000048">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They do okay with the other skills.</w:t>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9">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Show students carpenters with missing fingers!</w:t>
            </w:r>
          </w:p>
          <w:p w:rsidR="00000000" w:rsidDel="00000000" w:rsidP="00000000" w:rsidRDefault="00000000" w:rsidRPr="00000000" w14:paraId="0000004B">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Show more safety videos.</w:t>
            </w:r>
          </w:p>
          <w:p w:rsidR="00000000" w:rsidDel="00000000" w:rsidP="00000000" w:rsidRDefault="00000000" w:rsidRPr="00000000" w14:paraId="0000004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Practice more.</w:t>
            </w:r>
          </w:p>
          <w:p w:rsidR="00000000" w:rsidDel="00000000" w:rsidP="00000000" w:rsidRDefault="00000000" w:rsidRPr="00000000" w14:paraId="0000004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Increase personal interaction with the instructor.</w:t>
            </w:r>
          </w:p>
          <w:p w:rsidR="00000000" w:rsidDel="00000000" w:rsidP="00000000" w:rsidRDefault="00000000" w:rsidRPr="00000000" w14:paraId="0000004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Keep doing safety meetings.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F">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Summer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1">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2">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3">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4">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5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7">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JVsXx1RbryQetbFpKHCTNYiDOg==">CgMxLjA4AHIhMWdoSFQxOGNwc3dmMUZmcDlMU1NicE9xZEx6Wm9ZZ0Fk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